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8E" w:rsidRPr="00845482" w:rsidRDefault="00D82D8E" w:rsidP="00D82D8E">
      <w:pPr>
        <w:jc w:val="center"/>
        <w:rPr>
          <w:rFonts w:ascii="Footlight MT Light" w:hAnsi="Footlight MT Light"/>
          <w:b/>
          <w:sz w:val="32"/>
          <w:szCs w:val="32"/>
        </w:rPr>
      </w:pPr>
      <w:r w:rsidRPr="00845482">
        <w:rPr>
          <w:rFonts w:ascii="Footlight MT Light" w:hAnsi="Footlight MT Light"/>
          <w:b/>
          <w:sz w:val="32"/>
          <w:szCs w:val="32"/>
        </w:rPr>
        <w:t>Lerninhalte „Deutsche Volkskunde“ Klasse 9-12</w:t>
      </w:r>
    </w:p>
    <w:p w:rsidR="00D82D8E" w:rsidRPr="00845482" w:rsidRDefault="00D82D8E" w:rsidP="00D82D8E">
      <w:pPr>
        <w:rPr>
          <w:rFonts w:ascii="Footlight MT Light" w:hAnsi="Footlight MT Light"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331"/>
        <w:gridCol w:w="3331"/>
        <w:gridCol w:w="3331"/>
        <w:gridCol w:w="3332"/>
      </w:tblGrid>
      <w:tr w:rsidR="00D82D8E" w:rsidRPr="00845482" w:rsidTr="00070912">
        <w:trPr>
          <w:cantSplit/>
          <w:trHeight w:val="476"/>
        </w:trPr>
        <w:tc>
          <w:tcPr>
            <w:tcW w:w="144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Persönliche Lebensgestaltung</w:t>
            </w:r>
          </w:p>
        </w:tc>
      </w:tr>
      <w:tr w:rsidR="00D82D8E" w:rsidRPr="00845482" w:rsidTr="00070912">
        <w:trPr>
          <w:cantSplit/>
          <w:trHeight w:val="47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82D8E" w:rsidRPr="00845482" w:rsidRDefault="00D82D8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9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10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11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12</w:t>
            </w:r>
          </w:p>
        </w:tc>
      </w:tr>
      <w:tr w:rsidR="00D82D8E" w:rsidRPr="00845482" w:rsidTr="00070912">
        <w:trPr>
          <w:cantSplit/>
          <w:trHeight w:val="2490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82D8E" w:rsidRPr="00845482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Soziale Kontakte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Lebens – und Denkweise sowie Wertordnung in den ungarndeutschen Familien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Veränderung dieser Normen in den vergangenen Jahrzehnten</w:t>
            </w:r>
          </w:p>
          <w:p w:rsidR="00D82D8E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Sprichwörter, Redewendungen über die Denkweise der Ungarndeutschen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D82D8E" w:rsidRPr="00845482" w:rsidTr="0094105E">
        <w:trPr>
          <w:cantSplit/>
          <w:trHeight w:val="3186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Gesellschaftliche Trends und Modeströmungen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Die Volkstracht</w:t>
            </w:r>
          </w:p>
          <w:p w:rsidR="0070268D" w:rsidRPr="00845482" w:rsidRDefault="0070268D" w:rsidP="007402A2">
            <w:pPr>
              <w:autoSpaceDE w:val="0"/>
              <w:autoSpaceDN w:val="0"/>
              <w:spacing w:after="120"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Territoriale und generationsbedingte Unterschiede in der Volkstracht im 20. Jh.</w:t>
            </w:r>
          </w:p>
          <w:p w:rsidR="00D82D8E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Veränderte Rolle der Volkstracht – volkstümliche Tracht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94105E" w:rsidRPr="00845482" w:rsidTr="0094105E">
        <w:trPr>
          <w:cantSplit/>
          <w:trHeight w:val="552"/>
        </w:trPr>
        <w:tc>
          <w:tcPr>
            <w:tcW w:w="14454" w:type="dxa"/>
            <w:gridSpan w:val="5"/>
            <w:shd w:val="clear" w:color="auto" w:fill="auto"/>
          </w:tcPr>
          <w:p w:rsidR="0094105E" w:rsidRPr="0094105E" w:rsidRDefault="0094105E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Schule, Ausbildung Beruf</w:t>
            </w:r>
          </w:p>
        </w:tc>
      </w:tr>
      <w:tr w:rsidR="00D82D8E" w:rsidRPr="00845482" w:rsidTr="0040151E">
        <w:trPr>
          <w:cantSplit/>
          <w:trHeight w:val="1423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Schule und Unterricht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Schule früher und heute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Das ungarndeutsche Schulsystem in seiner Entwicklung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Die Frakturschrift</w:t>
            </w:r>
          </w:p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94105E" w:rsidRPr="00845482" w:rsidTr="0094105E">
        <w:trPr>
          <w:cantSplit/>
          <w:trHeight w:val="2179"/>
        </w:trPr>
        <w:tc>
          <w:tcPr>
            <w:tcW w:w="1129" w:type="dxa"/>
            <w:shd w:val="clear" w:color="auto" w:fill="auto"/>
            <w:textDirection w:val="btLr"/>
          </w:tcPr>
          <w:p w:rsidR="0094105E" w:rsidRPr="00845482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Bildungswege und Erw</w:t>
            </w:r>
            <w:r w:rsidR="007402A2">
              <w:rPr>
                <w:rFonts w:ascii="Footlight MT Light" w:hAnsi="Footlight MT Light"/>
                <w:b/>
                <w:sz w:val="26"/>
                <w:szCs w:val="26"/>
              </w:rPr>
              <w:t>e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>rbstätigkeit</w:t>
            </w: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Erlernen des Handwerks</w:t>
            </w:r>
          </w:p>
          <w:p w:rsidR="0094105E" w:rsidRPr="00845482" w:rsidRDefault="0094105E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Rohstoffe, Werkzeuge, Produkte</w:t>
            </w:r>
          </w:p>
          <w:p w:rsidR="0094105E" w:rsidRPr="00845482" w:rsidRDefault="0094105E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Schranken, Verpflichtungen der Berufswahl früher und heute</w:t>
            </w: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D82D8E" w:rsidRPr="00845482" w:rsidTr="00D82D8E">
        <w:trPr>
          <w:cantSplit/>
          <w:trHeight w:val="551"/>
        </w:trPr>
        <w:tc>
          <w:tcPr>
            <w:tcW w:w="14454" w:type="dxa"/>
            <w:gridSpan w:val="5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Wirtschaft, Technik, Umwelt</w:t>
            </w:r>
          </w:p>
        </w:tc>
      </w:tr>
      <w:tr w:rsidR="00D82D8E" w:rsidRPr="00845482" w:rsidTr="0040151E">
        <w:trPr>
          <w:cantSplit/>
          <w:trHeight w:val="456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D82D8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9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10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11</w:t>
            </w: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12</w:t>
            </w:r>
          </w:p>
        </w:tc>
      </w:tr>
      <w:tr w:rsidR="00D82D8E" w:rsidRPr="00845482" w:rsidTr="0040151E">
        <w:trPr>
          <w:cantSplit/>
          <w:trHeight w:val="2070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Wandel der Gesellschaftsformen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Bauernjahr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Arbeit im und ums Haus, auf dem Feld in den vier Jahreszeiten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Die Ernte, die Weinlese – heutige Erscheinungsformen, „Selbstversorgung“ der Familien heute</w:t>
            </w:r>
          </w:p>
          <w:p w:rsidR="00D82D8E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Abergläubische Vorstellungen</w:t>
            </w:r>
          </w:p>
        </w:tc>
        <w:tc>
          <w:tcPr>
            <w:tcW w:w="3332" w:type="dxa"/>
            <w:shd w:val="clear" w:color="auto" w:fill="auto"/>
          </w:tcPr>
          <w:p w:rsidR="00D82D8E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Auswirkung der Globalisierung auf die traditionelle Lebensform der Ungarndeutschen.</w:t>
            </w:r>
          </w:p>
        </w:tc>
      </w:tr>
      <w:tr w:rsidR="00D82D8E" w:rsidRPr="00845482" w:rsidTr="0040151E">
        <w:trPr>
          <w:cantSplit/>
          <w:trHeight w:val="567"/>
        </w:trPr>
        <w:tc>
          <w:tcPr>
            <w:tcW w:w="14454" w:type="dxa"/>
            <w:gridSpan w:val="5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Gesellschaftliches Leben</w:t>
            </w:r>
          </w:p>
        </w:tc>
      </w:tr>
      <w:tr w:rsidR="00D82D8E" w:rsidRPr="00845482" w:rsidTr="0040151E">
        <w:trPr>
          <w:cantSplit/>
          <w:trHeight w:val="397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D82D8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9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10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11</w:t>
            </w: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12</w:t>
            </w:r>
          </w:p>
        </w:tc>
      </w:tr>
      <w:tr w:rsidR="00D82D8E" w:rsidRPr="00845482" w:rsidTr="0040151E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D82D8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Leben</w:t>
            </w:r>
            <w:r w:rsidR="0094105E">
              <w:rPr>
                <w:rFonts w:ascii="Footlight MT Light" w:hAnsi="Footlight MT Light"/>
                <w:b/>
                <w:sz w:val="26"/>
                <w:szCs w:val="26"/>
              </w:rPr>
              <w:t xml:space="preserve"> im Dorf</w:t>
            </w: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Das Dorf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Dorfanlage, Dorfformen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Bauernhaus und Bauweise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Flurnamen im Ort und ihre Herkunft</w:t>
            </w:r>
          </w:p>
          <w:p w:rsidR="00D82D8E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Wegkreuze, Bildstöcke und ihre Geschichte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94105E" w:rsidRPr="00845482" w:rsidTr="0040151E">
        <w:trPr>
          <w:cantSplit/>
          <w:trHeight w:val="1602"/>
        </w:trPr>
        <w:tc>
          <w:tcPr>
            <w:tcW w:w="1129" w:type="dxa"/>
            <w:shd w:val="clear" w:color="auto" w:fill="auto"/>
            <w:textDirection w:val="btLr"/>
          </w:tcPr>
          <w:p w:rsidR="0094105E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Tradition im Wandel</w:t>
            </w: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autoSpaceDE w:val="0"/>
              <w:autoSpaceDN w:val="0"/>
              <w:spacing w:after="120"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Geburt, Hochzeit, Tod und die mit ihnen verbundenen Bräuche früher und heute.</w:t>
            </w:r>
          </w:p>
          <w:p w:rsidR="0094105E" w:rsidRDefault="0094105E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Abergläubische Vorstellungen im Zusammenhang mit Geburt, Hochzeit, Tod, Kirchenjahr.</w:t>
            </w:r>
          </w:p>
        </w:tc>
        <w:tc>
          <w:tcPr>
            <w:tcW w:w="3332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Art und Wesen einiger ausgewählter Bräuche, heutige Erscheinungsformen dieser. Möglichkeiten der Widerbelebung. (Aberglaube)</w:t>
            </w:r>
          </w:p>
        </w:tc>
      </w:tr>
      <w:tr w:rsidR="0094105E" w:rsidRPr="00845482" w:rsidTr="0040151E">
        <w:trPr>
          <w:cantSplit/>
          <w:trHeight w:val="1602"/>
        </w:trPr>
        <w:tc>
          <w:tcPr>
            <w:tcW w:w="1129" w:type="dxa"/>
            <w:shd w:val="clear" w:color="auto" w:fill="auto"/>
            <w:textDirection w:val="btLr"/>
          </w:tcPr>
          <w:p w:rsidR="0094105E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Integration und Identität</w:t>
            </w: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94105E" w:rsidRPr="00845482" w:rsidRDefault="0094105E" w:rsidP="007402A2">
            <w:pPr>
              <w:autoSpaceDE w:val="0"/>
              <w:autoSpaceDN w:val="0"/>
              <w:spacing w:after="120"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94105E" w:rsidRDefault="0094105E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Stereotypen zu den Ungarndeutschen</w:t>
            </w:r>
          </w:p>
          <w:p w:rsidR="0094105E" w:rsidRPr="00845482" w:rsidRDefault="0094105E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Gespräch über die Identitätsauffassung der Schüler.</w:t>
            </w:r>
          </w:p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94105E" w:rsidRPr="00845482" w:rsidRDefault="0094105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D82D8E" w:rsidRPr="00845482" w:rsidTr="0040151E">
        <w:trPr>
          <w:cantSplit/>
          <w:trHeight w:val="1602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Lokale und globale Esskultur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autoSpaceDE w:val="0"/>
              <w:autoSpaceDN w:val="0"/>
              <w:spacing w:after="120"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Charakterisierung der ungarndeutschen Essgewohnheiten</w:t>
            </w:r>
          </w:p>
          <w:p w:rsidR="0070268D" w:rsidRPr="00845482" w:rsidRDefault="00600D3B" w:rsidP="007402A2">
            <w:pPr>
              <w:autoSpaceDE w:val="0"/>
              <w:autoSpaceDN w:val="0"/>
              <w:spacing w:after="120"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</w:t>
            </w:r>
            <w:r w:rsidR="0070268D" w:rsidRPr="00845482">
              <w:rPr>
                <w:rFonts w:ascii="Footlight MT Light" w:hAnsi="Footlight MT Light"/>
                <w:sz w:val="26"/>
                <w:szCs w:val="26"/>
              </w:rPr>
              <w:t>lte Speisen in der modernen Küche</w:t>
            </w:r>
          </w:p>
          <w:p w:rsidR="0070268D" w:rsidRPr="00845482" w:rsidRDefault="0070268D" w:rsidP="007402A2">
            <w:pPr>
              <w:autoSpaceDE w:val="0"/>
              <w:autoSpaceDN w:val="0"/>
              <w:spacing w:after="120"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Küche und ihre Einrichtung</w:t>
            </w:r>
          </w:p>
          <w:p w:rsidR="0070268D" w:rsidRPr="00845482" w:rsidRDefault="0070268D" w:rsidP="007402A2">
            <w:pPr>
              <w:autoSpaceDE w:val="0"/>
              <w:autoSpaceDN w:val="0"/>
              <w:spacing w:after="120"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Säuerung</w:t>
            </w:r>
          </w:p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D82D8E" w:rsidRPr="00845482" w:rsidTr="0094105E">
        <w:trPr>
          <w:cantSplit/>
          <w:trHeight w:val="1685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D82D8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Feste</w:t>
            </w:r>
            <w:r w:rsidR="0094105E">
              <w:rPr>
                <w:rFonts w:ascii="Footlight MT Light" w:hAnsi="Footlight MT Light"/>
                <w:b/>
                <w:sz w:val="26"/>
                <w:szCs w:val="26"/>
              </w:rPr>
              <w:t xml:space="preserve"> und Feiertage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Wesen und Herkunft der wichtigsten Bräuche (Advent, Weihnachten, Ostern)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Wesen und Herkunft der wichtigsten Bräuche (Fasching, Hutzelsonntag, Spinnstube)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D82D8E" w:rsidRPr="00845482" w:rsidTr="0040151E">
        <w:trPr>
          <w:cantSplit/>
          <w:trHeight w:val="524"/>
        </w:trPr>
        <w:tc>
          <w:tcPr>
            <w:tcW w:w="14454" w:type="dxa"/>
            <w:gridSpan w:val="5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Kulturelles Leben und Medien</w:t>
            </w:r>
          </w:p>
        </w:tc>
      </w:tr>
      <w:tr w:rsidR="00D82D8E" w:rsidRPr="00845482" w:rsidTr="0040151E">
        <w:trPr>
          <w:cantSplit/>
          <w:trHeight w:val="483"/>
        </w:trPr>
        <w:tc>
          <w:tcPr>
            <w:tcW w:w="1129" w:type="dxa"/>
            <w:shd w:val="clear" w:color="auto" w:fill="auto"/>
            <w:textDirection w:val="btLr"/>
          </w:tcPr>
          <w:p w:rsidR="00D82D8E" w:rsidRPr="00845482" w:rsidRDefault="00D82D8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9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10</w:t>
            </w:r>
          </w:p>
        </w:tc>
        <w:tc>
          <w:tcPr>
            <w:tcW w:w="3331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11</w:t>
            </w:r>
          </w:p>
        </w:tc>
        <w:tc>
          <w:tcPr>
            <w:tcW w:w="3332" w:type="dxa"/>
            <w:shd w:val="clear" w:color="auto" w:fill="auto"/>
          </w:tcPr>
          <w:p w:rsidR="00D82D8E" w:rsidRPr="00845482" w:rsidRDefault="00D82D8E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12</w:t>
            </w:r>
          </w:p>
        </w:tc>
      </w:tr>
      <w:tr w:rsidR="0070268D" w:rsidRPr="00845482" w:rsidTr="0094105E">
        <w:trPr>
          <w:cantSplit/>
          <w:trHeight w:val="1950"/>
        </w:trPr>
        <w:tc>
          <w:tcPr>
            <w:tcW w:w="1129" w:type="dxa"/>
            <w:shd w:val="clear" w:color="auto" w:fill="auto"/>
            <w:textDirection w:val="btLr"/>
          </w:tcPr>
          <w:p w:rsidR="0070268D" w:rsidRPr="00845482" w:rsidRDefault="0070268D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Literatur</w:t>
            </w: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Lyrische und epische Werke aus der ungarndeutschen Literatur nach Themen orientiert (z.B. Heimat, Sprache)</w:t>
            </w: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Lyrische und epische Werke aus der ungarndeutschen Literatur nach Themen orientiert (z.B. Heimat, Sprachgebrauch)</w:t>
            </w:r>
          </w:p>
        </w:tc>
        <w:tc>
          <w:tcPr>
            <w:tcW w:w="3331" w:type="dxa"/>
            <w:shd w:val="clear" w:color="auto" w:fill="auto"/>
          </w:tcPr>
          <w:p w:rsidR="0070268D" w:rsidRPr="00600D3B" w:rsidRDefault="0070268D" w:rsidP="007402A2">
            <w:pPr>
              <w:pStyle w:val="Szvegtrzs"/>
              <w:spacing w:line="360" w:lineRule="auto"/>
              <w:jc w:val="both"/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</w:pPr>
            <w:r w:rsidRPr="00600D3B">
              <w:rPr>
                <w:rFonts w:ascii="Footlight MT Light" w:hAnsi="Footlight MT Light"/>
                <w:sz w:val="26"/>
                <w:szCs w:val="26"/>
                <w:lang w:val="de-DE"/>
              </w:rPr>
              <w:t>Ausgewählte lyrische und epische Werke im Thema: Schicksalsschläge und ihre Auswirkungen</w:t>
            </w:r>
          </w:p>
        </w:tc>
        <w:tc>
          <w:tcPr>
            <w:tcW w:w="3332" w:type="dxa"/>
            <w:shd w:val="clear" w:color="auto" w:fill="auto"/>
          </w:tcPr>
          <w:p w:rsidR="0070268D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Ausgewählte lyrische und epische Werke im Thema: Schicksalsschläge und ihre Auswirkungen, Angst um die Fortbestehung der Volksgruppe.</w:t>
            </w:r>
          </w:p>
        </w:tc>
      </w:tr>
      <w:tr w:rsidR="0070268D" w:rsidRPr="00845482" w:rsidTr="007402A2">
        <w:trPr>
          <w:cantSplit/>
          <w:trHeight w:val="2536"/>
        </w:trPr>
        <w:tc>
          <w:tcPr>
            <w:tcW w:w="1129" w:type="dxa"/>
            <w:shd w:val="clear" w:color="auto" w:fill="auto"/>
            <w:textDirection w:val="btLr"/>
          </w:tcPr>
          <w:p w:rsidR="0070268D" w:rsidRPr="00845482" w:rsidRDefault="007402A2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 xml:space="preserve">Gesellschaftlicher Einfluss von </w:t>
            </w:r>
            <w:r w:rsidR="0070268D" w:rsidRPr="00845482">
              <w:rPr>
                <w:rFonts w:ascii="Footlight MT Light" w:hAnsi="Footlight MT Light"/>
                <w:b/>
                <w:sz w:val="26"/>
                <w:szCs w:val="26"/>
              </w:rPr>
              <w:t>Medien</w:t>
            </w: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600D3B" w:rsidRPr="00845482" w:rsidRDefault="00600D3B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Das Erscheinen der deutschen </w:t>
            </w:r>
            <w:r>
              <w:rPr>
                <w:rFonts w:ascii="Footlight MT Light" w:hAnsi="Footlight MT Light"/>
                <w:sz w:val="26"/>
                <w:szCs w:val="26"/>
              </w:rPr>
              <w:t>Nationalität</w:t>
            </w: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 in den Medien. Kennenlernen der Erscheinungsformen ungarndeutscher Medien. </w:t>
            </w:r>
          </w:p>
          <w:p w:rsidR="0070268D" w:rsidRPr="00845482" w:rsidRDefault="0070268D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Das Erscheinen der deutschen </w:t>
            </w:r>
            <w:r w:rsidR="00600D3B">
              <w:rPr>
                <w:rFonts w:ascii="Footlight MT Light" w:hAnsi="Footlight MT Light"/>
                <w:sz w:val="26"/>
                <w:szCs w:val="26"/>
              </w:rPr>
              <w:t>Nationalität</w:t>
            </w: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 in den Medien – kritische Auseinandersetzung mit der Rolle der Medien</w:t>
            </w:r>
          </w:p>
          <w:p w:rsidR="0070268D" w:rsidRPr="00845482" w:rsidRDefault="0070268D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70268D" w:rsidRPr="00845482" w:rsidTr="0040151E">
        <w:trPr>
          <w:cantSplit/>
          <w:trHeight w:val="369"/>
        </w:trPr>
        <w:tc>
          <w:tcPr>
            <w:tcW w:w="14454" w:type="dxa"/>
            <w:gridSpan w:val="5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Politik und Gesellschaft</w:t>
            </w:r>
          </w:p>
        </w:tc>
      </w:tr>
      <w:tr w:rsidR="0070268D" w:rsidRPr="00845482" w:rsidTr="0040151E">
        <w:trPr>
          <w:cantSplit/>
          <w:trHeight w:val="530"/>
        </w:trPr>
        <w:tc>
          <w:tcPr>
            <w:tcW w:w="1129" w:type="dxa"/>
            <w:shd w:val="clear" w:color="auto" w:fill="auto"/>
            <w:textDirection w:val="btLr"/>
          </w:tcPr>
          <w:p w:rsidR="0070268D" w:rsidRPr="00845482" w:rsidRDefault="0070268D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9</w:t>
            </w: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10</w:t>
            </w:r>
          </w:p>
        </w:tc>
        <w:tc>
          <w:tcPr>
            <w:tcW w:w="3331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11</w:t>
            </w:r>
          </w:p>
        </w:tc>
        <w:tc>
          <w:tcPr>
            <w:tcW w:w="3332" w:type="dxa"/>
            <w:shd w:val="clear" w:color="auto" w:fill="auto"/>
          </w:tcPr>
          <w:p w:rsidR="0070268D" w:rsidRPr="00845482" w:rsidRDefault="0070268D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12</w:t>
            </w:r>
          </w:p>
        </w:tc>
      </w:tr>
      <w:tr w:rsidR="00070912" w:rsidRPr="00845482" w:rsidTr="0040151E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</w:tcPr>
          <w:p w:rsidR="00070912" w:rsidRPr="0094105E" w:rsidRDefault="0094105E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Wanderung und Migration</w:t>
            </w:r>
          </w:p>
        </w:tc>
        <w:tc>
          <w:tcPr>
            <w:tcW w:w="3331" w:type="dxa"/>
            <w:shd w:val="clear" w:color="auto" w:fill="auto"/>
          </w:tcPr>
          <w:p w:rsidR="00070912" w:rsidRPr="006D5D89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D5D89">
              <w:rPr>
                <w:rFonts w:ascii="Footlight MT Light" w:hAnsi="Footlight MT Light"/>
                <w:sz w:val="26"/>
                <w:szCs w:val="26"/>
              </w:rPr>
              <w:t>Siedlungsgeschichte der Ungarndeutschen im Rahmen der mitteleuropäischen Geschichte: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Anfänge der deutsch-ungarischen Beziehungen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Ansiedlung deutscher Kolonisten im 12. Jh..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Städte, Bürger, Bergleute im 14.-15. Jh.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Ansiedlung der Deutschen im 18. Jh..</w:t>
            </w: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Untersuchung von historischen Quellen die Siedlungsgeschichte der Ungarndeutschen betreffend,  Einordnung dieser in geschichtliche Zusammenhänge</w:t>
            </w:r>
          </w:p>
        </w:tc>
        <w:tc>
          <w:tcPr>
            <w:tcW w:w="3331" w:type="dxa"/>
            <w:shd w:val="clear" w:color="auto" w:fill="auto"/>
          </w:tcPr>
          <w:p w:rsidR="007402A2" w:rsidRDefault="007402A2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Ursachen der Verschleppung und Vertreibung der Ungarndeutschen nach dem Zweiten Weltkrieg</w:t>
            </w:r>
          </w:p>
          <w:p w:rsidR="007402A2" w:rsidRDefault="007402A2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</w:tr>
      <w:tr w:rsidR="00070912" w:rsidRPr="00845482" w:rsidTr="0040151E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</w:tcPr>
          <w:p w:rsidR="00070912" w:rsidRPr="007402A2" w:rsidRDefault="007402A2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b/>
                <w:sz w:val="26"/>
                <w:szCs w:val="26"/>
              </w:rPr>
              <w:t>Nationalitatenpolitik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7402A2" w:rsidRPr="00845482" w:rsidRDefault="007402A2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Das Nationalitätengesetz</w:t>
            </w:r>
          </w:p>
          <w:p w:rsidR="007402A2" w:rsidRPr="00845482" w:rsidRDefault="007402A2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Rechte und Pflichten der Nationalitäten in Ungarn.</w:t>
            </w:r>
          </w:p>
          <w:p w:rsidR="007402A2" w:rsidRPr="00845482" w:rsidRDefault="007402A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Ebenen der </w:t>
            </w: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Interessenvertretung der </w:t>
            </w:r>
            <w:r>
              <w:rPr>
                <w:rFonts w:ascii="Footlight MT Light" w:hAnsi="Footlight MT Light"/>
                <w:sz w:val="26"/>
                <w:szCs w:val="26"/>
              </w:rPr>
              <w:t>Nationalitäten und ihre</w:t>
            </w: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 Institutionen und Organisationen.</w:t>
            </w:r>
          </w:p>
          <w:p w:rsidR="007402A2" w:rsidRPr="00845482" w:rsidRDefault="007402A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Wahlen. </w:t>
            </w:r>
          </w:p>
          <w:p w:rsidR="00070912" w:rsidRPr="00845482" w:rsidRDefault="00070912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7402A2" w:rsidRPr="00845482" w:rsidRDefault="007402A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Nationalitätenpolitik in Ungarn und in europäischen</w:t>
            </w: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 xml:space="preserve"> </w:t>
            </w:r>
            <w:r w:rsidRPr="00845482">
              <w:rPr>
                <w:rFonts w:ascii="Footlight MT Light" w:hAnsi="Footlight MT Light"/>
                <w:sz w:val="26"/>
                <w:szCs w:val="26"/>
              </w:rPr>
              <w:t>Dimensionen. Internationale Beziehungen der Ungarndeutschen.</w:t>
            </w:r>
          </w:p>
          <w:p w:rsidR="007402A2" w:rsidRDefault="007402A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Vereine und Organisationen; aktive und bewusste Teilnahme am öffentlichen Leben.</w:t>
            </w:r>
          </w:p>
          <w:p w:rsidR="007402A2" w:rsidRPr="00845482" w:rsidRDefault="007402A2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070912" w:rsidRPr="00845482" w:rsidRDefault="00070912" w:rsidP="007402A2">
            <w:pPr>
              <w:spacing w:line="360" w:lineRule="auto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Auswirkung der historischen Ereignisse des 20. Jh.-s auf die deutsche Volksgruppe.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Situation heute: Assimilation, Sprache, Schulsystem, Volkszählungen usw.</w:t>
            </w:r>
          </w:p>
        </w:tc>
      </w:tr>
      <w:tr w:rsidR="00070912" w:rsidRPr="00845482" w:rsidTr="0051344F">
        <w:trPr>
          <w:cantSplit/>
          <w:trHeight w:val="369"/>
        </w:trPr>
        <w:tc>
          <w:tcPr>
            <w:tcW w:w="14454" w:type="dxa"/>
            <w:gridSpan w:val="5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Deutsche Sprache</w:t>
            </w:r>
          </w:p>
        </w:tc>
      </w:tr>
      <w:tr w:rsidR="00070912" w:rsidRPr="00845482" w:rsidTr="0051344F">
        <w:trPr>
          <w:cantSplit/>
          <w:trHeight w:val="530"/>
        </w:trPr>
        <w:tc>
          <w:tcPr>
            <w:tcW w:w="1129" w:type="dxa"/>
            <w:shd w:val="clear" w:color="auto" w:fill="auto"/>
            <w:textDirection w:val="btLr"/>
          </w:tcPr>
          <w:p w:rsidR="00070912" w:rsidRPr="00845482" w:rsidRDefault="00070912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9</w:t>
            </w: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10</w:t>
            </w: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11</w:t>
            </w:r>
          </w:p>
        </w:tc>
        <w:tc>
          <w:tcPr>
            <w:tcW w:w="3332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12</w:t>
            </w:r>
          </w:p>
        </w:tc>
      </w:tr>
      <w:tr w:rsidR="00070912" w:rsidRPr="00845482" w:rsidTr="0051344F">
        <w:trPr>
          <w:cantSplit/>
          <w:trHeight w:val="530"/>
        </w:trPr>
        <w:tc>
          <w:tcPr>
            <w:tcW w:w="1129" w:type="dxa"/>
            <w:shd w:val="clear" w:color="auto" w:fill="auto"/>
            <w:textDirection w:val="btLr"/>
          </w:tcPr>
          <w:p w:rsidR="00070912" w:rsidRPr="00845482" w:rsidRDefault="007402A2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Existenzformen der deutschen Sprache, Sprachgebrauch der Ungarndeutschen</w:t>
            </w: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Sprachvarietäten auf deutschem Sprachgebiet und deren Parallele in Ungarn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 xml:space="preserve">Rolle der Sprache: Muttersprache 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Merkmale der Zweisprachigkeit bei den Ungarndeutschen</w:t>
            </w:r>
          </w:p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2" w:type="dxa"/>
            <w:shd w:val="clear" w:color="auto" w:fill="auto"/>
          </w:tcPr>
          <w:p w:rsidR="00070912" w:rsidRDefault="006D5D89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Entwicklung des deutschen Sprachgebrauchs; Veränderungen des deutschen Nationalitätenunterrichts in den letzten Jahrzehnten</w:t>
            </w: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t>Grundlagen und Anforderungen (familiär und institutionell) der zweisprachigen sprachlichen Erziehung Die Mundart als zukunftsprägendes Identitätsmerkmal</w:t>
            </w:r>
            <w:r w:rsidR="00600D3B">
              <w:rPr>
                <w:rFonts w:ascii="Footlight MT Light" w:hAnsi="Footlight MT Light"/>
                <w:sz w:val="26"/>
                <w:szCs w:val="26"/>
              </w:rPr>
              <w:t>.</w:t>
            </w:r>
          </w:p>
          <w:p w:rsidR="00600D3B" w:rsidRPr="00845482" w:rsidRDefault="00600D3B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Symbolik des Sprachverlusts in Werken ungarndeutscher Autoren.</w:t>
            </w:r>
          </w:p>
        </w:tc>
      </w:tr>
      <w:tr w:rsidR="00070912" w:rsidRPr="00845482" w:rsidTr="00070912">
        <w:trPr>
          <w:cantSplit/>
          <w:trHeight w:val="530"/>
        </w:trPr>
        <w:tc>
          <w:tcPr>
            <w:tcW w:w="14454" w:type="dxa"/>
            <w:gridSpan w:val="5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Projekt</w:t>
            </w:r>
          </w:p>
        </w:tc>
      </w:tr>
      <w:tr w:rsidR="00070912" w:rsidRPr="00845482" w:rsidTr="0051344F">
        <w:trPr>
          <w:cantSplit/>
          <w:trHeight w:val="530"/>
        </w:trPr>
        <w:tc>
          <w:tcPr>
            <w:tcW w:w="1129" w:type="dxa"/>
            <w:shd w:val="clear" w:color="auto" w:fill="auto"/>
            <w:textDirection w:val="btLr"/>
          </w:tcPr>
          <w:p w:rsidR="00070912" w:rsidRPr="00845482" w:rsidRDefault="00070912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9</w:t>
            </w: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10</w:t>
            </w: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11</w:t>
            </w:r>
          </w:p>
        </w:tc>
        <w:tc>
          <w:tcPr>
            <w:tcW w:w="3332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b/>
                <w:sz w:val="26"/>
                <w:szCs w:val="26"/>
              </w:rPr>
              <w:t>Klasse 12</w:t>
            </w:r>
          </w:p>
        </w:tc>
      </w:tr>
      <w:tr w:rsidR="00070912" w:rsidRPr="00845482" w:rsidTr="007402A2">
        <w:trPr>
          <w:cantSplit/>
          <w:trHeight w:val="2018"/>
        </w:trPr>
        <w:tc>
          <w:tcPr>
            <w:tcW w:w="1129" w:type="dxa"/>
            <w:shd w:val="clear" w:color="auto" w:fill="auto"/>
            <w:textDirection w:val="btLr"/>
          </w:tcPr>
          <w:p w:rsidR="00070912" w:rsidRPr="00845482" w:rsidRDefault="007402A2" w:rsidP="007402A2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Projektarbeit</w:t>
            </w: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Schritte eines Projektes: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Themenwahl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Projektbeschreibung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Projektpräsentation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Quellennachweis</w:t>
            </w:r>
          </w:p>
        </w:tc>
        <w:tc>
          <w:tcPr>
            <w:tcW w:w="3332" w:type="dxa"/>
            <w:shd w:val="clear" w:color="auto" w:fill="auto"/>
          </w:tcPr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845482">
              <w:rPr>
                <w:rFonts w:ascii="Footlight MT Light" w:hAnsi="Footlight MT Light"/>
                <w:sz w:val="26"/>
                <w:szCs w:val="26"/>
              </w:rPr>
              <w:t>Selbstständige Erarbeitung eines Projektthemas nach freier Wahl.</w:t>
            </w:r>
          </w:p>
          <w:p w:rsidR="00070912" w:rsidRPr="00845482" w:rsidRDefault="00070912" w:rsidP="007402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</w:tbl>
    <w:p w:rsidR="00D82D8E" w:rsidRPr="00845482" w:rsidRDefault="00D82D8E" w:rsidP="007402A2">
      <w:pPr>
        <w:spacing w:line="360" w:lineRule="auto"/>
        <w:rPr>
          <w:rFonts w:ascii="Footlight MT Light" w:hAnsi="Footlight MT Light"/>
          <w:sz w:val="26"/>
          <w:szCs w:val="26"/>
        </w:rPr>
      </w:pPr>
    </w:p>
    <w:p w:rsidR="00D82D8E" w:rsidRPr="00845482" w:rsidRDefault="00D82D8E" w:rsidP="007402A2">
      <w:pPr>
        <w:spacing w:line="360" w:lineRule="auto"/>
        <w:rPr>
          <w:rFonts w:ascii="Footlight MT Light" w:hAnsi="Footlight MT Light"/>
          <w:sz w:val="26"/>
          <w:szCs w:val="26"/>
        </w:rPr>
      </w:pPr>
    </w:p>
    <w:p w:rsidR="005F6B4F" w:rsidRPr="00845482" w:rsidRDefault="005F6B4F" w:rsidP="007402A2">
      <w:pPr>
        <w:spacing w:line="360" w:lineRule="auto"/>
        <w:rPr>
          <w:rFonts w:ascii="Footlight MT Light" w:hAnsi="Footlight MT Light"/>
          <w:sz w:val="26"/>
          <w:szCs w:val="26"/>
        </w:rPr>
      </w:pPr>
    </w:p>
    <w:sectPr w:rsidR="005F6B4F" w:rsidRPr="00845482" w:rsidSect="008C6C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8E"/>
    <w:rsid w:val="00070912"/>
    <w:rsid w:val="005F6B4F"/>
    <w:rsid w:val="00600D3B"/>
    <w:rsid w:val="006D5D89"/>
    <w:rsid w:val="0070268D"/>
    <w:rsid w:val="007402A2"/>
    <w:rsid w:val="00845482"/>
    <w:rsid w:val="0094105E"/>
    <w:rsid w:val="00D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268D"/>
    <w:pPr>
      <w:autoSpaceDE w:val="0"/>
      <w:autoSpaceDN w:val="0"/>
      <w:spacing w:after="120"/>
    </w:pPr>
    <w:rPr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7026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4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82"/>
    <w:rPr>
      <w:rFonts w:ascii="Tahoma" w:eastAsia="Times New Roman" w:hAnsi="Tahoma" w:cs="Tahoma"/>
      <w:sz w:val="16"/>
      <w:szCs w:val="16"/>
      <w:lang w:val="de-D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268D"/>
    <w:pPr>
      <w:autoSpaceDE w:val="0"/>
      <w:autoSpaceDN w:val="0"/>
      <w:spacing w:after="120"/>
    </w:pPr>
    <w:rPr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7026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4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82"/>
    <w:rPr>
      <w:rFonts w:ascii="Tahoma" w:eastAsia="Times New Roman" w:hAnsi="Tahoma" w:cs="Tahoma"/>
      <w:sz w:val="16"/>
      <w:szCs w:val="16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2015-07-05T16:39:00Z</cp:lastPrinted>
  <dcterms:created xsi:type="dcterms:W3CDTF">2015-07-05T13:43:00Z</dcterms:created>
  <dcterms:modified xsi:type="dcterms:W3CDTF">2015-08-18T07:01:00Z</dcterms:modified>
</cp:coreProperties>
</file>